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0F0" w:rsidRDefault="00FC417D">
      <w:r>
        <w:t>Personnel expenditures (salary, fringe benefits, stipend)</w:t>
      </w:r>
    </w:p>
    <w:p w:rsidR="00FC417D" w:rsidRPr="00363628" w:rsidRDefault="00110ACA" w:rsidP="00110ACA">
      <w:pPr>
        <w:pStyle w:val="ListParagraph"/>
        <w:numPr>
          <w:ilvl w:val="0"/>
          <w:numId w:val="1"/>
        </w:numPr>
      </w:pPr>
      <w:r w:rsidRPr="00110ACA">
        <w:rPr>
          <w:color w:val="1F497D"/>
        </w:rPr>
        <w:t xml:space="preserve">On federal awards, continue to charge personnel expenses as usual, even if full effort is not possible.  </w:t>
      </w:r>
      <w:r>
        <w:rPr>
          <w:color w:val="1F497D"/>
        </w:rPr>
        <w:t>Track when you do this and provide to your SPO; some sponsors require notification (ACF</w:t>
      </w:r>
      <w:r w:rsidR="00363628">
        <w:rPr>
          <w:color w:val="1F497D"/>
        </w:rPr>
        <w:t xml:space="preserve">, DOD) </w:t>
      </w:r>
      <w:r>
        <w:rPr>
          <w:color w:val="1F497D"/>
        </w:rPr>
        <w:t xml:space="preserve">and some do not </w:t>
      </w:r>
      <w:r w:rsidR="00363628">
        <w:rPr>
          <w:color w:val="1F497D"/>
        </w:rPr>
        <w:t xml:space="preserve">(e.g. NIH, NSF). </w:t>
      </w:r>
      <w:r w:rsidR="00363628">
        <w:t xml:space="preserve">&lt;note: maybe </w:t>
      </w:r>
      <w:r w:rsidR="00363628" w:rsidRPr="00363628">
        <w:t>do a table by sponsor)</w:t>
      </w:r>
    </w:p>
    <w:p w:rsidR="00110ACA" w:rsidRPr="00110ACA" w:rsidRDefault="00110ACA" w:rsidP="00110ACA">
      <w:pPr>
        <w:pStyle w:val="ListParagraph"/>
        <w:numPr>
          <w:ilvl w:val="0"/>
          <w:numId w:val="1"/>
        </w:numPr>
        <w:rPr>
          <w:color w:val="1F497D"/>
        </w:rPr>
      </w:pPr>
      <w:r w:rsidRPr="00110ACA">
        <w:rPr>
          <w:color w:val="1F497D"/>
        </w:rPr>
        <w:t>On awards from Foundations/Associations (private agencies) and from Industry (non-federal flow-through), continue to charge if the work can be performed.  If only partial effort or no effort can be performed, and the award is cost-reimbursable, charge for the effort only if the sponsor allows (American Heart Association). If the award is fixed price/deliverable based (as are the vast majority of industry awards) you may continue to charge these expenses, but consider whether you’ll be able to produce deliverables given funding.</w:t>
      </w:r>
    </w:p>
    <w:p w:rsidR="00FC417D" w:rsidRDefault="00FC417D">
      <w:r>
        <w:t>Non-Personnel expenditures</w:t>
      </w:r>
    </w:p>
    <w:p w:rsidR="00FC417D" w:rsidRPr="00FC417D" w:rsidRDefault="00FC417D" w:rsidP="00FC417D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University </w:t>
      </w:r>
      <w:r w:rsidRPr="00FC417D">
        <w:rPr>
          <w:color w:val="1F497D"/>
        </w:rPr>
        <w:t>budget i</w:t>
      </w:r>
      <w:r>
        <w:rPr>
          <w:color w:val="1F497D"/>
        </w:rPr>
        <w:t>ssue resulting from the crisis</w:t>
      </w:r>
      <w:r w:rsidRPr="00FC417D">
        <w:rPr>
          <w:color w:val="1F497D"/>
        </w:rPr>
        <w:t>:  As a result, the University has limited purchases to business critical items and services.  This doesn’t apply to sponsored programs funds.</w:t>
      </w:r>
    </w:p>
    <w:p w:rsidR="00FC417D" w:rsidRDefault="00FC417D" w:rsidP="00FC417D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However, as a result of </w:t>
      </w:r>
      <w:r w:rsidRPr="00FC417D">
        <w:rPr>
          <w:color w:val="1F497D"/>
        </w:rPr>
        <w:t>the soci</w:t>
      </w:r>
      <w:r>
        <w:rPr>
          <w:color w:val="1F497D"/>
        </w:rPr>
        <w:t xml:space="preserve">al distancing and safety issue, </w:t>
      </w:r>
      <w:r w:rsidRPr="00FC417D">
        <w:rPr>
          <w:color w:val="1F497D"/>
        </w:rPr>
        <w:t xml:space="preserve">only critical research should be happening on campus.  If critical research is being conducted then the lab can be open and </w:t>
      </w:r>
      <w:r>
        <w:rPr>
          <w:color w:val="1F497D"/>
        </w:rPr>
        <w:t xml:space="preserve">order and </w:t>
      </w:r>
      <w:r w:rsidRPr="00FC417D">
        <w:rPr>
          <w:color w:val="1F497D"/>
        </w:rPr>
        <w:t>receive shipments</w:t>
      </w:r>
      <w:r>
        <w:rPr>
          <w:color w:val="1F497D"/>
        </w:rPr>
        <w:t xml:space="preserve"> as normal</w:t>
      </w:r>
      <w:r w:rsidRPr="00FC417D">
        <w:rPr>
          <w:color w:val="1F497D"/>
        </w:rPr>
        <w:t xml:space="preserve">.  </w:t>
      </w:r>
    </w:p>
    <w:p w:rsidR="00FC417D" w:rsidRPr="00FC417D" w:rsidRDefault="00FC417D" w:rsidP="00FC417D">
      <w:pPr>
        <w:pStyle w:val="ListParagraph"/>
        <w:numPr>
          <w:ilvl w:val="0"/>
          <w:numId w:val="1"/>
        </w:numPr>
        <w:rPr>
          <w:color w:val="1F497D"/>
        </w:rPr>
      </w:pPr>
      <w:r w:rsidRPr="00FC417D">
        <w:rPr>
          <w:color w:val="1F497D"/>
        </w:rPr>
        <w:t>For non-critical research we can place orders for services, for equipment with longer lead times and/or to be held by the supplier until after labs reopen, or for appropriate goods (no hazard to shipping/storing/using at home) that can be shipped to homes to support research being done by researchers working from home.</w:t>
      </w:r>
    </w:p>
    <w:p w:rsidR="00FC417D" w:rsidRDefault="00FC417D" w:rsidP="00FC417D">
      <w:pPr>
        <w:rPr>
          <w:color w:val="1F497D"/>
        </w:rPr>
      </w:pPr>
    </w:p>
    <w:p w:rsidR="00FC417D" w:rsidRDefault="00FC417D"/>
    <w:sectPr w:rsidR="00FC4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E00D8"/>
    <w:multiLevelType w:val="hybridMultilevel"/>
    <w:tmpl w:val="37481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70BD0"/>
    <w:multiLevelType w:val="hybridMultilevel"/>
    <w:tmpl w:val="A97A1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17D"/>
    <w:rsid w:val="00110ACA"/>
    <w:rsid w:val="001540F0"/>
    <w:rsid w:val="00363628"/>
    <w:rsid w:val="0069664C"/>
    <w:rsid w:val="00FC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F99730-CB13-421E-96C8-1C2FC58E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0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LANDesk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Hamble, Christine E.</dc:creator>
  <cp:keywords/>
  <dc:description/>
  <cp:lastModifiedBy>Microsoft Office User</cp:lastModifiedBy>
  <cp:revision>2</cp:revision>
  <dcterms:created xsi:type="dcterms:W3CDTF">2020-04-02T13:14:00Z</dcterms:created>
  <dcterms:modified xsi:type="dcterms:W3CDTF">2020-04-02T13:14:00Z</dcterms:modified>
</cp:coreProperties>
</file>